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2026年南京市华电中学电梯</w:t>
      </w:r>
      <w:r>
        <w:rPr>
          <w:rFonts w:eastAsia="宋体" w:cs="Times New Roman"/>
          <w:b/>
          <w:color w:val="000000"/>
          <w:sz w:val="30"/>
          <w:szCs w:val="30"/>
          <w:u w:val="single"/>
          <w:lang w:val="en-US" w:eastAsia="zh-CN"/>
        </w:rPr>
      </w:r>
      <w:r/>
    </w:p>
    <w:p>
      <w:pPr>
        <w:pStyle w:val="873"/>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0251</w:t>
      </w:r>
      <w:r>
        <w:rPr>
          <w:rFonts w:eastAsia="宋体" w:cs="Times New Roman"/>
          <w:b/>
          <w:color w:val="000000"/>
          <w:sz w:val="30"/>
          <w:szCs w:val="30"/>
          <w:lang w:val="en-US"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3"/>
        <w:rPr>
          <w:rFonts w:hint="eastAsia"/>
        </w:rPr>
      </w:pPr>
      <w:r>
        <w:rPr>
          <w:rFonts w:hint="eastAsia"/>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52" w:lineRule="auto"/>
        <w:widowControl w:val="off"/>
        <w:rPr>
          <w:rFonts w:ascii="宋体" w:hAnsi="宋体"/>
          <w:sz w:val="24"/>
          <w:szCs w:val="24"/>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宋体" w:hAnsi="宋体" w:eastAsia="宋体" w:cs="Times New Roman"/>
          <w:b w:val="0"/>
          <w:bCs w:val="0"/>
          <w:color w:val="000000"/>
          <w:sz w:val="24"/>
          <w:szCs w:val="24"/>
          <w:lang w:eastAsia="zh-CN"/>
        </w:rPr>
        <w:t xml:space="preserve">受南京市华电中学委托，南京市公共资源交易中心（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）就2026年南京市华电中学电梯进行公开招标采</w:t>
      </w:r>
      <w:r>
        <w:rPr>
          <w:rFonts w:hint="eastAsia" w:ascii="宋体" w:hAnsi="宋体"/>
          <w:sz w:val="24"/>
          <w:szCs w:val="24"/>
        </w:rPr>
        <w:t xml:space="preserve">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bookmarkEnd w:id="11"/>
      <w:r/>
      <w:bookmarkStart w:id="12" w:name="_Toc35393791"/>
      <w:r/>
      <w:bookmarkStart w:id="13" w:name="_Toc35393622"/>
      <w:r/>
      <w:bookmarkStart w:id="14" w:name="_Toc28359080"/>
      <w:r/>
      <w:bookmarkStart w:id="15" w:name="_Toc28359003"/>
      <w:r/>
      <w:bookmarkStart w:id="16" w:name="_Toc38985264"/>
      <w:r>
        <w:rPr>
          <w:rFonts w:hint="eastAsia" w:ascii="宋体" w:hAnsi="宋体" w:eastAsia="宋体" w:cs="Times New Roman"/>
          <w:b w:val="0"/>
          <w:bCs w:val="0"/>
          <w:color w:val="000000"/>
          <w:sz w:val="24"/>
          <w:szCs w:val="24"/>
          <w:lang w:eastAsia="zh-CN"/>
        </w:rPr>
        <w:t xml:space="preserve">1.项目编号：JSZC-3201</w:t>
      </w:r>
      <w:r>
        <w:rPr>
          <w:rFonts w:hint="eastAsia" w:ascii="宋体" w:hAnsi="宋体" w:eastAsia="宋体" w:cs="Times New Roman"/>
          <w:b w:val="0"/>
          <w:bCs w:val="0"/>
          <w:color w:val="000000"/>
          <w:sz w:val="24"/>
          <w:szCs w:val="24"/>
          <w:lang w:val="en-US" w:eastAsia="zh-CN"/>
        </w:rPr>
        <w:t xml:space="preserve">00</w:t>
      </w:r>
      <w:r>
        <w:rPr>
          <w:rFonts w:hint="eastAsia" w:ascii="宋体" w:hAnsi="宋体" w:eastAsia="宋体" w:cs="Times New Roman"/>
          <w:b w:val="0"/>
          <w:bCs w:val="0"/>
          <w:color w:val="000000"/>
          <w:sz w:val="24"/>
          <w:szCs w:val="24"/>
          <w:lang w:eastAsia="zh-CN"/>
        </w:rPr>
        <w:t xml:space="preserve">-JZCG-G20</w:t>
      </w:r>
      <w:r>
        <w:rPr>
          <w:rFonts w:hint="eastAsia" w:ascii="宋体" w:hAnsi="宋体" w:eastAsia="宋体" w:cs="Times New Roman"/>
          <w:b w:val="0"/>
          <w:bCs w:val="0"/>
          <w:color w:val="000000"/>
          <w:sz w:val="24"/>
          <w:szCs w:val="24"/>
          <w:lang w:val="en-US" w:eastAsia="zh-CN"/>
        </w:rPr>
        <w:t xml:space="preserve">26</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0251</w:t>
      </w:r>
      <w:r>
        <w:rPr>
          <w:rFonts w:hint="eastAsia" w:ascii="宋体" w:hAnsi="宋体" w:eastAsia="宋体" w:cs="Times New Roman"/>
          <w:b w:val="0"/>
          <w:bCs w:val="0"/>
          <w:color w:val="000000"/>
          <w:sz w:val="24"/>
          <w:szCs w:val="24"/>
          <w:lang w:eastAsia="zh-CN"/>
        </w:rPr>
        <w:t xml:space="preserve"> </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2.项目名称：2026年南京市华电中学电梯</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25</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4.最高限价：</w:t>
      </w:r>
      <w:r>
        <w:rPr>
          <w:rFonts w:hint="eastAsia" w:ascii="宋体" w:hAnsi="宋体" w:eastAsia="宋体" w:cs="Times New Roman"/>
          <w:b w:val="0"/>
          <w:bCs w:val="0"/>
          <w:color w:val="000000"/>
          <w:sz w:val="24"/>
          <w:szCs w:val="24"/>
          <w:lang w:val="en-US" w:eastAsia="zh-CN"/>
        </w:rPr>
        <w:t xml:space="preserve">25</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3"/>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color w:val="000000"/>
          <w:sz w:val="24"/>
          <w:szCs w:val="24"/>
        </w:rPr>
        <w:t xml:space="preserve">本项目计划在南京市华电中学加装一台电梯，包括供货及安装。</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3"/>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60天</w:t>
      </w:r>
      <w:r>
        <w:rPr>
          <w:rFonts w:hint="eastAsia" w:ascii="宋体" w:hAnsi="宋体" w:eastAsia="宋体"/>
          <w:color w:val="000000"/>
          <w:sz w:val="24"/>
          <w:szCs w:val="24"/>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sz w:val="24"/>
          <w:szCs w:val="24"/>
          <w:lang w:val="en-US" w:eastAsia="zh-CN"/>
        </w:rPr>
        <w:t xml:space="preserve">。</w:t>
      </w: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3"/>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lang w:val="zh-CN"/>
        </w:rPr>
        <w:t xml:space="preserve">承诺函（</w:t>
      </w:r>
      <w:r>
        <w:rPr>
          <w:rFonts w:hint="eastAsia" w:ascii="宋体" w:hAnsi="宋体" w:eastAsia="宋体" w:cs="Times New Roman"/>
          <w:sz w:val="24"/>
          <w:szCs w:val="24"/>
          <w:lang w:val="zh-CN" w:eastAsia="zh-CN"/>
        </w:rPr>
        <w:t xml:space="preserve">格式见第六章</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eastAsia="zh-CN"/>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3"/>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sz w:val="24"/>
          <w:szCs w:val="24"/>
          <w:lang w:val="en-US" w:eastAsia="zh-CN"/>
        </w:rPr>
        <w:t xml:space="preserve">（1）供应商如为设备制造商，则须具有有效期</w:t>
      </w:r>
      <w:r>
        <w:rPr>
          <w:rFonts w:hint="eastAsia" w:ascii="宋体" w:hAnsi="宋体" w:eastAsia="宋体" w:cs="Times New Roman"/>
          <w:b w:val="0"/>
          <w:bCs w:val="0"/>
          <w:color w:val="000000"/>
          <w:sz w:val="24"/>
          <w:szCs w:val="24"/>
          <w:highlight w:val="none"/>
          <w:lang w:val="en-US" w:eastAsia="zh-CN"/>
        </w:rPr>
        <w:t xml:space="preserve">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color w:val="0000ff"/>
          <w:sz w:val="24"/>
          <w:szCs w:val="24"/>
          <w:u w:val="none"/>
          <w:lang w:val="en-US" w:eastAsia="zh-CN"/>
        </w:rPr>
      </w:r>
      <w:r/>
    </w:p>
    <w:p>
      <w:pPr>
        <w:pStyle w:val="943"/>
        <w:rPr>
          <w:rFonts w:hint="eastAsia"/>
          <w:lang w:val="en-US" w:eastAsia="zh-CN"/>
        </w:rPr>
      </w:pPr>
      <w:r>
        <w:rPr>
          <w:rFonts w:hint="eastAsia"/>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35393794"/>
      <w:r/>
      <w:bookmarkStart w:id="30" w:name="_Toc2835908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17</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3"/>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采购人《质疑函》收件人：周老师，收件地址：</w:t>
      </w:r>
      <w:r>
        <w:rPr>
          <w:rFonts w:hint="eastAsia" w:ascii="宋体" w:hAnsi="宋体" w:cs="宋体"/>
          <w:color w:val="000000"/>
          <w:sz w:val="24"/>
          <w:szCs w:val="24"/>
        </w:rPr>
        <w:t xml:space="preserve">南京市栖霞区寅春路99号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szCs w:val="24"/>
        </w:rPr>
        <w:t xml:space="preserve">1</w:t>
      </w:r>
      <w:r>
        <w:rPr>
          <w:rFonts w:hint="eastAsia" w:ascii="宋体" w:hAnsi="宋体"/>
          <w:color w:val="000000"/>
          <w:sz w:val="24"/>
          <w:szCs w:val="24"/>
          <w:lang w:val="en-US" w:eastAsia="zh-CN"/>
        </w:rPr>
        <w:t xml:space="preserve">6605220152</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3"/>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称：南京市华电中学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南京市栖霞区寅春路99号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联系人：周</w:t>
      </w:r>
      <w:r>
        <w:rPr>
          <w:rFonts w:hint="eastAsia" w:ascii="宋体" w:hAnsi="宋体"/>
          <w:color w:val="000000"/>
          <w:sz w:val="24"/>
          <w:szCs w:val="24"/>
          <w:lang w:val="en-US" w:eastAsia="zh-CN"/>
        </w:rPr>
        <w:t xml:space="preserve">老师</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1</w:t>
      </w:r>
      <w:r>
        <w:rPr>
          <w:rFonts w:hint="eastAsia" w:ascii="宋体" w:hAnsi="宋体"/>
          <w:color w:val="000000"/>
          <w:sz w:val="24"/>
          <w:szCs w:val="24"/>
          <w:lang w:val="en-US" w:eastAsia="zh-CN"/>
        </w:rPr>
        <w:t xml:space="preserve">6605220152</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20823275"/>
      <w:r/>
      <w:bookmarkStart w:id="50" w:name="_Toc513029203"/>
      <w:r/>
      <w:bookmarkStart w:id="51" w:name="_Toc479757207"/>
      <w:r/>
      <w:bookmarkStart w:id="52" w:name="_Toc513029242"/>
      <w:r/>
      <w:bookmarkStart w:id="53" w:name="_Toc16938558"/>
      <w:r/>
      <w:bookmarkStart w:id="54" w:name="_Toc120614221"/>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462564072"/>
      <w:r/>
      <w:bookmarkStart w:id="88" w:name="_Toc16938529"/>
      <w:r/>
      <w:bookmarkStart w:id="89" w:name="_Toc20823285"/>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2"/>
      <w:r/>
      <w:bookmarkEnd w:id="113"/>
      <w:r/>
      <w:bookmarkStart w:id="114" w:name="_Hlt26954848"/>
      <w:r/>
      <w:bookmarkEnd w:id="114"/>
      <w:r/>
      <w:bookmarkStart w:id="115" w:name="_Hlt26670403"/>
      <w:r/>
      <w:bookmarkEnd w:id="115"/>
      <w:r/>
      <w:bookmarkStart w:id="116" w:name="_Hlt26954844"/>
      <w:r/>
      <w:bookmarkEnd w:id="116"/>
      <w:r/>
      <w:bookmarkStart w:id="117" w:name="_Hlt26670486"/>
      <w:r/>
      <w:bookmarkEnd w:id="117"/>
      <w:r/>
      <w:bookmarkStart w:id="118" w:name="_Hlt26668983"/>
      <w:r/>
      <w:bookmarkEnd w:id="118"/>
      <w:r/>
      <w:bookmarkStart w:id="119" w:name="_Hlt26954731"/>
      <w:r/>
      <w:bookmarkEnd w:id="119"/>
      <w:r/>
      <w:bookmarkStart w:id="120" w:name="_Hlt26670425"/>
      <w:r/>
      <w:bookmarkEnd w:id="120"/>
      <w:r/>
      <w:bookmarkStart w:id="121" w:name="_Hlt26954846"/>
      <w:r/>
      <w:bookmarkEnd w:id="121"/>
      <w:r/>
      <w:bookmarkStart w:id="122" w:name="_Hlt2695484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120614217"/>
      <w:r/>
      <w:bookmarkStart w:id="132" w:name="_Toc513029224"/>
      <w:r/>
      <w:bookmarkStart w:id="133" w:name="_Toc20823296"/>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513029229"/>
      <w:r/>
      <w:bookmarkStart w:id="151" w:name="_Toc20823301"/>
      <w:r/>
      <w:bookmarkStart w:id="152" w:name="_Toc16938545"/>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w:t>
      </w:r>
      <w:r>
        <w:rPr>
          <w:rFonts w:hint="eastAsia" w:ascii="宋体" w:hAnsi="宋体" w:eastAsia="宋体" w:cs="Times New Roman"/>
          <w:color w:val="000000"/>
          <w:sz w:val="24"/>
          <w:szCs w:val="22"/>
          <w:lang w:val="zh-CN"/>
        </w:rPr>
        <w:t xml:space="preserve">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w:t>
      </w:r>
      <w:r>
        <w:rPr>
          <w:rFonts w:hint="eastAsia" w:ascii="宋体" w:hAnsi="宋体" w:eastAsia="宋体" w:cs="Times New Roman"/>
          <w:color w:val="000000"/>
          <w:sz w:val="24"/>
          <w:szCs w:val="22"/>
          <w:lang w:val="zh-CN"/>
        </w:rPr>
        <w:t xml:space="preserve">约的其他情形。</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513029237"/>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16938559"/>
      <w:r/>
      <w:bookmarkStart w:id="186" w:name="_Toc513029243"/>
      <w:r/>
      <w:bookmarkStart w:id="187" w:name="_Toc462564139"/>
      <w:r/>
      <w:bookmarkStart w:id="188" w:name="_Hlt16619350"/>
      <w:r/>
      <w:bookmarkStart w:id="189" w:name="_Toc120614244"/>
      <w:r/>
      <w:bookmarkStart w:id="190" w:name="_Toc20823346"/>
      <w:r/>
      <w:bookmarkStart w:id="191" w:name="_Toc16938590"/>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w:t>
      </w:r>
      <w:r>
        <w:rPr>
          <w:rFonts w:hint="eastAsia" w:ascii="宋体" w:hAnsi="宋体" w:eastAsia="宋体" w:cs="Courier New"/>
          <w:color w:val="000000"/>
          <w:sz w:val="24"/>
          <w:szCs w:val="24"/>
        </w:rPr>
        <w:t xml:space="preserve">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30</w:t>
      </w:r>
      <w:r>
        <w:rPr>
          <w:rFonts w:ascii="宋体" w:hAnsi="宋体" w:cs="宋体"/>
          <w:sz w:val="24"/>
          <w:szCs w:val="24"/>
        </w:rPr>
        <w:t xml:space="preserve">%。</w:t>
      </w:r>
      <w:r>
        <w:rPr>
          <w:rFonts w:hint="eastAsia" w:ascii="宋体" w:hAnsi="宋体" w:cs="Courier New"/>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color w:val="000000"/>
          <w:sz w:val="24"/>
          <w:szCs w:val="24"/>
          <w:u w:val="single"/>
        </w:rPr>
        <w:t xml:space="preserve">万分之五</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本项目计划在南京市华电中学加装一台电梯，包括供货及安装。</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（二）项目建设遵循标准</w:t>
      </w:r>
      <w:r>
        <w:rPr>
          <w:rFonts w:hint="eastAsia"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所投产品满足招标文件产品标准和规范要求及《特种设备安全监察条例》、《电梯检验规则》最新的要求，同时应达到下列标准和规范最新版本的要求：</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（1）GB/T7588《电梯制造与安装安全规范》</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（2）GB/T10058《电梯技术条件》</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（3）GB/T10059《电梯试验方法》</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（4）GB/T10060《电梯安装验收规范》</w:t>
      </w:r>
      <w:r>
        <w:rPr>
          <w:rFonts w:hint="eastAsia" w:ascii="宋体" w:hAnsi="宋体" w:eastAsia="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（5）其他与电梯相关的国家、行业和地方的法律法规、规范规程、标准、图集。</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上述规范及技术条件并非全部，未列入而又相关的仍应采用。招标文件涉及标准中未标年号的一律采用最新的标准；随着标准的修订，以修订后的最新标准为依据。</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0"/>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cs="宋体"/>
                <w:bCs/>
                <w:sz w:val="24"/>
                <w:szCs w:val="24"/>
                <w:lang w:val="zh-CN"/>
              </w:rPr>
            </w:r>
            <w:r/>
          </w:p>
        </w:tc>
        <w:tc>
          <w:tcPr>
            <w:tcW w:w="194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无机房客梯</w:t>
            </w:r>
            <w:r>
              <w:rPr>
                <w:rFonts w:hint="eastAsia" w:ascii="宋体" w:hAnsi="宋体" w:eastAsia="宋体" w:cs="宋体"/>
                <w:bCs/>
                <w:sz w:val="24"/>
                <w:szCs w:val="24"/>
                <w:lang w:val="zh-CN"/>
              </w:rPr>
            </w:r>
            <w:r/>
          </w:p>
        </w:tc>
        <w:tc>
          <w:tcPr>
            <w:tcW w:w="72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zh-CN"/>
              </w:rPr>
              <w:t xml:space="preserve">1</w:t>
            </w:r>
            <w:r>
              <w:rPr>
                <w:rFonts w:hint="eastAsia" w:ascii="宋体" w:hAnsi="宋体" w:eastAsia="宋体" w:cs="宋体"/>
                <w:bCs/>
                <w:sz w:val="24"/>
                <w:szCs w:val="24"/>
              </w:rPr>
            </w:r>
            <w:r/>
          </w:p>
        </w:tc>
        <w:tc>
          <w:tcPr>
            <w:tcW w:w="69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台</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250000</w:t>
            </w:r>
            <w:r>
              <w:rPr>
                <w:rFonts w:ascii="宋体" w:hAnsi="宋体" w:eastAsia="宋体" w:cs="宋体"/>
                <w:bCs/>
                <w:sz w:val="24"/>
                <w:szCs w:val="24"/>
                <w:lang w:val="en-US" w:eastAsia="zh-CN"/>
              </w:rPr>
            </w:r>
            <w:r/>
          </w:p>
        </w:tc>
        <w:tc>
          <w:tcPr>
            <w:tcW w:w="119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核心产品</w:t>
            </w:r>
            <w:r>
              <w:rPr>
                <w:rFonts w:hint="eastAsia" w:ascii="宋体" w:hAnsi="宋体" w:eastAsia="宋体" w:cs="宋体"/>
                <w:bCs/>
                <w:sz w:val="24"/>
                <w:szCs w:val="24"/>
                <w:lang w:val="en-US" w:eastAsia="zh-CN"/>
              </w:rPr>
            </w:r>
            <w:r/>
          </w:p>
        </w:tc>
        <w:tc>
          <w:tcPr>
            <w:tcW w:w="10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工业</w:t>
            </w:r>
            <w:r>
              <w:rPr>
                <w:rFonts w:hint="eastAsia" w:ascii="宋体" w:hAnsi="宋体" w:eastAsia="宋体" w:cs="宋体"/>
                <w:bCs/>
                <w:sz w:val="24"/>
                <w:szCs w:val="24"/>
                <w:lang w:val="en-US" w:eastAsia="zh-CN"/>
              </w:rPr>
            </w:r>
            <w:r/>
          </w:p>
        </w:tc>
        <w:tc>
          <w:tcPr>
            <w:tcW w:w="11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zh-CN"/>
              </w:rPr>
              <w:t xml:space="preserve">货物</w:t>
            </w:r>
            <w:r>
              <w:rPr>
                <w:rFonts w:hint="eastAsia" w:ascii="宋体" w:hAnsi="宋体" w:eastAsia="宋体" w:cs="宋体"/>
                <w:bCs/>
                <w:sz w:val="24"/>
                <w:szCs w:val="24"/>
                <w:lang w:eastAsia="zh-CN"/>
              </w:rPr>
            </w:r>
            <w:r/>
          </w:p>
        </w:tc>
        <w:tc>
          <w:tcPr>
            <w:tcW w:w="12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否</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4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产品名称</w:t>
            </w: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技术品目号</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技术参数不低于以下要求</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无机房客梯</w:t>
            </w:r>
            <w:r>
              <w:rPr>
                <w:rFonts w:hint="eastAsia" w:ascii="宋体" w:hAnsi="宋体" w:eastAsia="宋体" w:cs="宋体"/>
                <w:bCs/>
                <w:sz w:val="24"/>
                <w:szCs w:val="24"/>
                <w:lang w:val="en-US"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建筑尺寸（尺寸仅供参考，待中标后勘察现场</w:t>
            </w:r>
            <w:r>
              <w:rPr>
                <w:rFonts w:hint="eastAsia" w:ascii="宋体" w:hAnsi="宋体" w:eastAsia="宋体" w:cs="宋体"/>
                <w:bCs/>
                <w:sz w:val="24"/>
                <w:szCs w:val="24"/>
                <w:lang w:val="en-US" w:eastAsia="zh-CN"/>
              </w:rPr>
              <w:t xml:space="preserve">确认最终尺寸</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井道尺寸（宽*深mm）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2250*1850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厅门尺寸（宽*高mm）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900*2100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轿厢尺寸（宽*深*高mm）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eastAsia="zh-CN"/>
              </w:rPr>
              <w:t xml:space="preserve">00*1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00*2400</w:t>
            </w:r>
            <w:r>
              <w:rPr>
                <w:rFonts w:hint="eastAsia" w:ascii="宋体" w:hAnsi="宋体" w:eastAsia="宋体" w:cs="宋体"/>
                <w:bCs/>
                <w:sz w:val="24"/>
                <w:szCs w:val="24"/>
                <w:lang w:val="zh-CN" w:eastAsia="zh-CN"/>
              </w:rPr>
            </w:r>
            <w:r/>
          </w:p>
        </w:tc>
      </w:tr>
      <w:tr>
        <w:trPr>
          <w:trHeight w:val="244"/>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顶层高度（mm）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4300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底坑深度（mm）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eastAsia="zh-CN"/>
              </w:rPr>
              <w:t xml:space="preserve">00</w:t>
            </w:r>
            <w:r>
              <w:rPr>
                <w:rFonts w:hint="eastAsia" w:ascii="宋体" w:hAnsi="宋体" w:eastAsia="宋体" w:cs="宋体"/>
                <w:bCs/>
                <w:sz w:val="24"/>
                <w:szCs w:val="24"/>
                <w:lang w:val="zh-CN" w:eastAsia="zh-CN"/>
              </w:rPr>
            </w:r>
            <w:r/>
          </w:p>
        </w:tc>
      </w:tr>
      <w:tr>
        <w:trPr>
          <w:trHeight w:val="366"/>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提升高度（m）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根据实际现场尺寸</w:t>
            </w:r>
            <w:r>
              <w:rPr>
                <w:rFonts w:hint="eastAsia" w:ascii="宋体" w:hAnsi="宋体" w:eastAsia="宋体" w:cs="宋体"/>
                <w:bCs/>
                <w:sz w:val="24"/>
                <w:szCs w:val="24"/>
                <w:lang w:val="en-US"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★配置要求</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载重（kg）</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速度（m/s）</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1.0</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层站门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驱动方式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变频驱动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传动方式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永磁同步无齿轮曳引机</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门机系统</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变频变压调速（VVVF）,要求调速平滑，运行可靠</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开门方式</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双扇自动中分门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门保护装置</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光幕，不小于128束</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电源适应</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拖动电源：交流三相五线380V</w:t>
            </w:r>
            <w:r>
              <w:rPr>
                <w:rFonts w:hint="eastAsia" w:ascii="宋体" w:hAnsi="宋体" w:eastAsia="宋体" w:cs="宋体"/>
                <w:bCs/>
                <w:sz w:val="24"/>
                <w:szCs w:val="24"/>
                <w:lang w:val="en-US" w:eastAsia="zh-CN"/>
              </w:rPr>
              <w:t xml:space="preserve">±7%、50Hz；照明电源：交流单相220V±7%、50Hz</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性能要求</w:t>
            </w: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额定速度允许误差</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乘客电梯轿厢运行时垂直方向和水平方向的振动加速度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平层准确度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±5mm</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3"/>
            <w:shd w:val="clear" w:color="000000" w:fill="ffffff"/>
            <w:tcW w:w="33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噪声</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符合国标</w:t>
            </w:r>
            <w:r>
              <w:rPr>
                <w:rFonts w:hint="eastAsia" w:ascii="宋体" w:hAnsi="宋体" w:eastAsia="宋体" w:cs="宋体"/>
                <w:bCs/>
                <w:sz w:val="24"/>
                <w:szCs w:val="24"/>
                <w:lang w:val="zh-CN" w:eastAsia="zh-CN"/>
              </w:rPr>
            </w:r>
            <w:r/>
          </w:p>
        </w:tc>
      </w:tr>
      <w:tr>
        <w:trPr>
          <w:trHeight w:val="362"/>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内外装饰要求</w:t>
            </w:r>
            <w:r>
              <w:rPr>
                <w:rFonts w:hint="eastAsia" w:ascii="宋体" w:hAnsi="宋体" w:eastAsia="宋体" w:cs="宋体"/>
                <w:bCs/>
                <w:sz w:val="24"/>
                <w:szCs w:val="24"/>
                <w:lang w:val="zh-CN" w:eastAsia="zh-CN"/>
              </w:rPr>
            </w:r>
            <w:r/>
          </w:p>
        </w:tc>
        <w:tc>
          <w:tcPr>
            <w:shd w:val="clear" w:color="000000" w:fill="ffffff"/>
            <w:tcW w:w="78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w:t>
            </w: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轿厢顶</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发纹不锈钢，LED照明，简洁大气</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★轿厢壁</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en-US"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r>
      <w:tr>
        <w:trPr>
          <w:trHeight w:val="34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轿厢地面</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PVC地板</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操作盘</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★面板材质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显示器显示内容</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液晶显示电梯运行状态</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操作功能</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紧急对讲按钮及隐藏式对讲机，开关门按钮，风扇及照明自动控制</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标示要求</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品牌商标，禁烟标记，速度，载重量</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按钮要求</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圆型不锈钢按钮</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厅门及门套</w:t>
            </w: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厅门</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小门套</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1"/>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★厚度</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1mm</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楼层召唤</w:t>
            </w: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显示内容</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液晶显示，显示楼层及运行方向，驻停，检修</w:t>
            </w:r>
            <w:r>
              <w:rPr>
                <w:rFonts w:hint="eastAsia" w:ascii="宋体" w:hAnsi="宋体" w:eastAsia="宋体" w:cs="宋体"/>
                <w:bCs/>
                <w:sz w:val="24"/>
                <w:szCs w:val="24"/>
                <w:lang w:val="zh-CN" w:eastAsia="zh-CN"/>
              </w:rPr>
            </w:r>
            <w:r/>
          </w:p>
        </w:tc>
      </w:tr>
      <w:tr>
        <w:trPr>
          <w:trHeight w:val="33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098"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4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面板材质</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发纹不锈钢材质</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78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2"/>
            <w:shd w:val="clear" w:color="000000" w:fill="ffffff"/>
            <w:tcW w:w="25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地坎</w:t>
            </w:r>
            <w:r>
              <w:rPr>
                <w:rFonts w:hint="eastAsia" w:ascii="宋体" w:hAnsi="宋体" w:eastAsia="宋体" w:cs="宋体"/>
                <w:bCs/>
                <w:sz w:val="24"/>
                <w:szCs w:val="24"/>
                <w:lang w:val="zh-CN" w:eastAsia="zh-CN"/>
              </w:rPr>
            </w:r>
            <w:r/>
          </w:p>
        </w:tc>
        <w:tc>
          <w:tcPr>
            <w:shd w:val="clear" w:color="000000" w:fill="ffffff"/>
            <w:tcW w:w="3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硬质铝合金</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★刷卡功能</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有（</w:t>
            </w:r>
            <w:r>
              <w:rPr>
                <w:rFonts w:hint="eastAsia" w:ascii="宋体" w:hAnsi="宋体" w:eastAsia="宋体" w:cs="宋体"/>
                <w:bCs/>
                <w:sz w:val="24"/>
                <w:szCs w:val="24"/>
                <w:lang w:val="en-US" w:eastAsia="zh-CN"/>
              </w:rPr>
              <w:t xml:space="preserve">人脸识别</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eastAsia="zh-CN"/>
              </w:rPr>
            </w:r>
            <w:r/>
          </w:p>
        </w:tc>
      </w:tr>
      <w:tr>
        <w:trPr>
          <w:trHeight w:val="9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其他要求</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配置轿顶排风扇2个</w:t>
            </w:r>
            <w:r>
              <w:rPr>
                <w:rFonts w:hint="eastAsia" w:ascii="宋体" w:hAnsi="宋体" w:eastAsia="宋体" w:cs="宋体"/>
                <w:bCs/>
                <w:sz w:val="24"/>
                <w:szCs w:val="24"/>
                <w:lang w:val="en-US" w:eastAsia="zh-CN"/>
              </w:rPr>
            </w:r>
            <w:r/>
          </w:p>
        </w:tc>
      </w:tr>
      <w:tr>
        <w:trPr>
          <w:trHeight w:val="285"/>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功能要求</w:t>
            </w: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集选控制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自动返基站</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满载直驶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反向指令自动消除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重新初始化运行</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故障自诊断</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井道楼层间距自学习</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端站保护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超载保护</w:t>
            </w:r>
            <w:r>
              <w:rPr>
                <w:rFonts w:hint="eastAsia" w:ascii="宋体" w:hAnsi="宋体" w:eastAsia="宋体" w:cs="宋体"/>
                <w:bCs/>
                <w:sz w:val="24"/>
                <w:szCs w:val="24"/>
                <w:lang w:val="zh-CN" w:eastAsia="zh-CN"/>
              </w:rPr>
            </w:r>
            <w:r/>
          </w:p>
        </w:tc>
      </w:tr>
      <w:tr>
        <w:trPr>
          <w:trHeight w:val="2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驱动设备过热保护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电网异常检测功能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速度异常检测功能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接触器异常检测功能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抱闸异常检测功能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轿顶检修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紧急电动运行</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自动泊梯</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锁梯开关</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自动返回</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开关门按钮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光幕门保护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关门力矩保护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轿厢开门保护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轿厢关门保护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厅外重开门</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轿厢关门延时保护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内部通话装置</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轿厢到站钟</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轿厢警铃</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轿厢内应急照明</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轿内照明风扇自动控制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轿内楼层及方向显示</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厅外楼层及方向显示</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司机直驶</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司机操作</w:t>
            </w:r>
            <w:r>
              <w:rPr>
                <w:rFonts w:hint="eastAsia" w:ascii="宋体" w:hAnsi="宋体" w:eastAsia="宋体" w:cs="宋体"/>
                <w:bCs/>
                <w:sz w:val="24"/>
                <w:szCs w:val="24"/>
                <w:lang w:val="zh-CN" w:eastAsia="zh-CN"/>
              </w:rPr>
            </w:r>
            <w:r/>
          </w:p>
        </w:tc>
      </w:tr>
      <w:tr>
        <w:trPr>
          <w:trHeight w:val="326"/>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独立操作</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防捣乱保护</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消防紧急迫降功能</w:t>
            </w:r>
            <w:r>
              <w:rPr>
                <w:rFonts w:hint="eastAsia" w:ascii="宋体" w:hAnsi="宋体" w:eastAsia="宋体" w:cs="宋体"/>
                <w:bCs/>
                <w:sz w:val="24"/>
                <w:szCs w:val="24"/>
                <w:lang w:val="zh-CN" w:eastAsia="zh-CN"/>
              </w:rPr>
            </w:r>
            <w:r/>
          </w:p>
        </w:tc>
      </w:tr>
      <w:tr>
        <w:trPr>
          <w:trHeight w:val="180"/>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▲控制柜抗雷击浪涌电压</w:t>
            </w:r>
            <w:bookmarkStart w:id="196" w:name="OLE_LINK20"/>
            <w:r/>
            <w:bookmarkStart w:id="197" w:name="OLE_LINK24"/>
            <w:r>
              <w:rPr>
                <w:rFonts w:hint="eastAsia" w:ascii="宋体" w:hAnsi="宋体" w:eastAsia="宋体" w:cs="宋体"/>
                <w:bCs/>
                <w:sz w:val="24"/>
                <w:szCs w:val="24"/>
                <w:lang w:val="en-US" w:eastAsia="zh-CN"/>
              </w:rPr>
              <w:t xml:space="preserve">达到25kv</w:t>
            </w:r>
            <w:bookmarkEnd w:id="196"/>
            <w:r/>
            <w:bookmarkEnd w:id="197"/>
            <w:r>
              <w:rPr>
                <w:rFonts w:hint="eastAsia" w:ascii="宋体" w:hAnsi="宋体" w:eastAsia="宋体" w:cs="宋体"/>
                <w:bCs/>
                <w:sz w:val="24"/>
                <w:szCs w:val="24"/>
                <w:lang w:val="en-US" w:eastAsia="zh-CN"/>
              </w:rPr>
              <w:t xml:space="preserve">及以上。</w:t>
            </w:r>
            <w:bookmarkStart w:id="198" w:name="OLE_LINK25"/>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bookmarkEnd w:id="198"/>
            <w:r>
              <w:rPr>
                <w:rFonts w:hint="eastAsia" w:ascii="宋体" w:hAnsi="宋体" w:eastAsia="宋体" w:cs="宋体"/>
                <w:bCs/>
                <w:sz w:val="24"/>
                <w:szCs w:val="24"/>
                <w:lang w:val="zh-CN" w:eastAsia="zh-CN"/>
              </w:rPr>
            </w:r>
            <w:r/>
          </w:p>
        </w:tc>
      </w:tr>
      <w:tr>
        <w:trPr/>
        <w:tc>
          <w:tcPr>
            <w:shd w:val="clear" w:color="000000" w:fill="ffffff"/>
            <w:tcW w:w="1172"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shd w:val="clear" w:color="000000" w:fill="ffffff"/>
            <w:tcW w:w="15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r>
            <w:r/>
          </w:p>
        </w:tc>
        <w:tc>
          <w:tcPr>
            <w:gridSpan w:val="4"/>
            <w:shd w:val="clear" w:color="000000" w:fill="ffffff"/>
            <w:tcW w:w="71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▲按钮使用次数达到2000万次使用寿命</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eastAsia="zh-CN"/>
              </w:rPr>
            </w:r>
            <w:r/>
          </w:p>
        </w:tc>
      </w:tr>
    </w:tbl>
    <w:p>
      <w:pPr>
        <w:pStyle w:val="885"/>
        <w:rPr>
          <w:rFonts w:hint="eastAsia"/>
          <w:lang w:val="en-US" w:eastAsia="zh-CN"/>
        </w:rPr>
      </w:pPr>
      <w:r>
        <w:rPr>
          <w:rFonts w:hint="eastAsia"/>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rPr>
          <w:rFonts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（1）电梯安装要求：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①供应商接到中标通知后一周内提交详细的施工图等。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3）安全保证措施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①电梯安装现场必须有技术、安全人员监护；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②电梯安装区域设置警戒线，有明显标志，并要有专人监护，安装期间现场严禁闲杂人员进出；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③电梯安装前工作人员应对工具、附件等仔细检查，不合格者立即更换，确保正常使用；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⑤电梯安装过程中须有专人照看电源；</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⑦电梯安装过程中严禁由高空向下抛投物品；</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⑫电梯安装过程中吊笼载荷不允许超过额定安装载重量。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⑭电梯安装期间绝对不允许非安装人员使用施工升降机；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⑮安装期间严禁饮酒、打闹；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4）质量保证措施</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5）其它要求及说明：</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①电梯的电源总柜内，应有安装电源电缆的足够空间与配套紧固件。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6）其它注意事项和要求 </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①以现场勘查采购人确认的数据实际为准。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③如果建筑物现有共用总接地点接地电阻值不能满足响应电梯安装要求，由供应商自行解决。</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7）施工具体要求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搭建临时安全通道，保证人员的正常出行。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对关键施工技术、工艺及工程项目的重点、难点提出合理解决方案。</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明确现场服务人员组织架构、人员数量及年龄架构。至少包含项目负责人与安全员。（签订合同时提供相关人员信息，包含姓名、证书原件及复印件）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安装调试人员应注意保护电梯邻近的设备、管线等，如造成损坏，供应商应负责修复及承担一切相关费用。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应及时清理在修理及安装调试期间产生的垃圾。</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①供应商保证货物是全新、未使用过的原装合格正品。</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③供应商提供的货物符合国家有关质量技术标准及相关法律、法规规定的要求。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①验收标准：供应商提供的设备必须符合我国最新颁布的与之相关的技术规范与标准。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⑥产品配置符合投标文件响应内容。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（3）质保（维保）、售后及培训要求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质保要求：供应商须提供电梯制造商原厂质保（维保）(签订合同时提供加盖电梯制造商公章的原厂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2）售后服务要求：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（4）培训要求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（5）人员要求</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本项目实施人员不少于5人，其中项目经理1人。</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3.付款条件</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以第三章合同文本内容为准。</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4.交付时间及地点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（1）交付时间：合同签订后60天内交付并完成安装调试及验收等相关工作。</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（2）交付地点：采购人指定地点。</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3"/>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3"/>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3"/>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3"/>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w:t>
            </w:r>
            <w:r>
              <w:rPr>
                <w:rFonts w:hint="eastAsia" w:ascii="宋体" w:hAnsi="宋体" w:cs="宋体"/>
                <w:color w:val="000000"/>
                <w:szCs w:val="21"/>
              </w:rPr>
              <w:t xml:space="preserve">打▲指标（共7项）为重</w:t>
            </w:r>
            <w:r>
              <w:rPr>
                <w:rFonts w:hint="eastAsia" w:ascii="宋体" w:hAnsi="宋体" w:eastAsia="宋体" w:cs="宋体"/>
                <w:szCs w:val="21"/>
                <w:lang w:val="en-US" w:eastAsia="zh-CN"/>
              </w:rPr>
              <w:t xml:space="preserve">要指标，有1项负偏离扣1分，其余指标有1项负偏离扣0.155分。</w:t>
            </w:r>
            <w:r>
              <w:rPr>
                <w:rFonts w:hint="eastAsia" w:ascii="宋体" w:hAnsi="宋体" w:eastAsia="宋体" w:cs="宋体"/>
                <w:spacing w:val="1"/>
                <w:szCs w:val="21"/>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曳引媒介的耐用性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3"/>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根据所投电梯曳引媒介（钢丝绳或钢带）疲劳测试折弯次数进行打分，测试次数≥2500万次的得3分，2500万次＞测试次数≥2000万次的得2分，2000万次＞测试次数≥1500万次的得1分，其他不得分。</w:t>
            </w:r>
            <w:r/>
          </w:p>
          <w:p>
            <w:pPr>
              <w:pStyle w:val="873"/>
              <w:rPr>
                <w:rFonts w:hint="eastAsia" w:ascii="宋体" w:hAnsi="宋体" w:cs="宋体"/>
                <w:color w:val="000000"/>
                <w:szCs w:val="21"/>
              </w:rPr>
            </w:pPr>
            <w:r>
              <w:rPr>
                <w:rFonts w:hint="eastAsia" w:ascii="宋体" w:hAnsi="宋体" w:cs="宋体"/>
                <w:color w:val="000000"/>
                <w:szCs w:val="21"/>
              </w:rPr>
              <w:t xml:space="preserve">（提供符合国家及行业相关管理规范要求的第三方检测机构出具的试验报告，需反映以上参数。未提供或提供不符合要求的不得分）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numPr>
                <w:ilvl w:val="0"/>
                <w:numId w:val="5"/>
              </w:numPr>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安全部件稳定性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1.所投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2.所投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3.所投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9</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3"/>
              <w:rPr>
                <w:rFonts w:ascii="宋体" w:hAnsi="宋体" w:cs="宋体"/>
                <w:color w:val="000000"/>
                <w:sz w:val="21"/>
                <w:szCs w:val="21"/>
                <w:lang w:val="en-US" w:eastAsia="zh-CN" w:bidi="ar-SA"/>
              </w:rPr>
            </w:pPr>
            <w:r>
              <w:rPr>
                <w:rFonts w:hint="eastAsia" w:ascii="宋体" w:hAnsi="宋体" w:cs="宋体"/>
                <w:color w:val="000000"/>
              </w:rPr>
              <w:t xml:space="preserve">制动器稳定性</w:t>
            </w:r>
            <w:r>
              <w:rPr>
                <w:rFonts w:ascii="宋体" w:hAnsi="宋体" w:cs="宋体"/>
                <w:color w:val="000000"/>
                <w:sz w:val="21"/>
                <w:szCs w:val="21"/>
                <w:lang w:val="en-US" w:eastAsia="zh-CN" w:bidi="ar-SA"/>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提供符合国家及行业相关管理规范要求的第三方检测机构出具的检测报告，未提供或提供不符合要求的不得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1"/>
                <w:lang w:val="en-US"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3"/>
              <w:rPr>
                <w:rFonts w:hint="eastAsia" w:ascii="宋体" w:hAnsi="宋体" w:cs="宋体"/>
                <w:color w:val="000000"/>
                <w:sz w:val="21"/>
                <w:szCs w:val="22"/>
                <w:lang w:val="en-US" w:eastAsia="zh-CN" w:bidi="ar-SA"/>
              </w:rPr>
            </w:pPr>
            <w:r>
              <w:rPr>
                <w:rFonts w:hint="eastAsia" w:ascii="宋体" w:hAnsi="宋体" w:cs="宋体"/>
                <w:color w:val="000000"/>
              </w:rPr>
              <w:t xml:space="preserve">电梯光幕的安全性</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3"/>
              <w:rPr>
                <w:rFonts w:hint="eastAsia"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rPr>
              <w:t xml:space="preserve">安全性评分</w:t>
            </w:r>
            <w:r>
              <w:rPr>
                <w:rFonts w:ascii="宋体" w:hAnsi="宋体" w:cs="宋体"/>
                <w:color w:val="000000"/>
                <w:lang w:val="zh-CN"/>
              </w:rPr>
              <w:t xml:space="preserve">：</w:t>
            </w:r>
            <w:r>
              <w:rPr>
                <w:rFonts w:hint="eastAsia" w:ascii="宋体" w:hAnsi="宋体" w:cs="宋体"/>
                <w:color w:val="000000"/>
                <w:lang w:val="zh-CN"/>
              </w:rPr>
            </w:r>
            <w:r/>
          </w:p>
          <w:p>
            <w:pPr>
              <w:pStyle w:val="873"/>
              <w:numPr>
                <w:ilvl w:val="0"/>
                <w:numId w:val="6"/>
              </w:numPr>
              <w:rPr>
                <w:rFonts w:hint="eastAsia"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rPr>
              <w:t xml:space="preserve">得1分</w:t>
            </w:r>
            <w:r>
              <w:rPr>
                <w:rFonts w:ascii="宋体" w:hAnsi="宋体" w:cs="宋体"/>
                <w:color w:val="000000"/>
                <w:lang w:val="zh-CN"/>
              </w:rPr>
              <w:t xml:space="preserve">；</w:t>
            </w:r>
            <w:r>
              <w:rPr>
                <w:rFonts w:hint="eastAsia" w:ascii="宋体" w:hAnsi="宋体" w:cs="宋体"/>
                <w:color w:val="000000"/>
                <w:lang w:val="zh-CN"/>
              </w:rPr>
            </w:r>
            <w:r/>
          </w:p>
          <w:p>
            <w:pPr>
              <w:pStyle w:val="873"/>
              <w:numPr>
                <w:ilvl w:val="0"/>
                <w:numId w:val="6"/>
              </w:numPr>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rPr>
              <w:t xml:space="preserve">得1分。</w:t>
            </w:r>
            <w:r>
              <w:rPr>
                <w:rFonts w:hint="eastAsia" w:ascii="宋体" w:hAnsi="宋体" w:cs="宋体"/>
                <w:color w:val="000000"/>
                <w:lang w:val="zh-CN"/>
              </w:rPr>
            </w:r>
            <w:r/>
          </w:p>
          <w:p>
            <w:pPr>
              <w:pStyle w:val="873"/>
              <w:rPr>
                <w:rFonts w:hint="eastAsia" w:ascii="宋体" w:hAnsi="宋体" w:cs="宋体"/>
                <w:color w:val="000000"/>
              </w:rPr>
            </w:pPr>
            <w:r>
              <w:rPr>
                <w:rFonts w:ascii="宋体" w:hAnsi="宋体" w:cs="宋体"/>
                <w:color w:val="000000"/>
              </w:rPr>
              <w:t xml:space="preserve">注：</w:t>
            </w:r>
            <w:r>
              <w:rPr>
                <w:rFonts w:hint="eastAsia" w:ascii="宋体" w:hAnsi="宋体" w:cs="宋体"/>
                <w:color w:val="000000"/>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3"/>
              <w:rPr>
                <w:rFonts w:hint="eastAsia" w:ascii="宋体" w:hAnsi="宋体" w:cs="宋体"/>
                <w:color w:val="000000"/>
                <w:sz w:val="21"/>
                <w:szCs w:val="22"/>
                <w:lang w:val="zh-CN" w:eastAsia="zh-CN" w:bidi="ar-SA"/>
              </w:rPr>
            </w:pPr>
            <w:r>
              <w:rPr>
                <w:rFonts w:hint="eastAsia" w:ascii="宋体" w:hAnsi="宋体" w:eastAsia="宋体" w:cs="宋体"/>
                <w:szCs w:val="21"/>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 w:val="21"/>
                <w:szCs w:val="22"/>
                <w:lang w:val="zh-CN"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2</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p>
        </w:tc>
        <w:tc>
          <w:tcPr>
            <w:tcW w:w="1179" w:type="dxa"/>
            <w:vAlign w:val="center"/>
            <w:textDirection w:val="lrTb"/>
            <w:noWrap w:val="false"/>
          </w:tcPr>
          <w:p>
            <w:pPr>
              <w:pStyle w:val="873"/>
              <w:rPr>
                <w:rFonts w:hint="eastAsia" w:ascii="宋体" w:hAnsi="宋体" w:cs="宋体"/>
                <w:color w:val="000000"/>
                <w:sz w:val="21"/>
                <w:szCs w:val="22"/>
                <w:lang w:val="en-US" w:eastAsia="zh-CN" w:bidi="ar-SA"/>
              </w:rPr>
            </w:pPr>
            <w:r>
              <w:rPr>
                <w:rFonts w:hint="eastAsia" w:ascii="宋体" w:hAnsi="宋体" w:cs="宋体"/>
                <w:color w:val="000000"/>
              </w:rPr>
              <w:t xml:space="preserve">产品兼容</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3"/>
              <w:rPr>
                <w:rFonts w:hint="eastAsia" w:ascii="宋体" w:hAnsi="宋体" w:cs="宋体"/>
                <w:color w:val="000000"/>
                <w:sz w:val="21"/>
                <w:szCs w:val="22"/>
                <w:lang w:val="en-US" w:eastAsia="zh-CN" w:bidi="ar-SA"/>
              </w:rPr>
            </w:pPr>
            <w:r>
              <w:rPr>
                <w:rFonts w:ascii="宋体" w:hAnsi="宋体" w:cs="宋体"/>
                <w:color w:val="000000"/>
                <w:lang w:val="zh-CN"/>
              </w:rPr>
              <w:t xml:space="preserve">所投电梯光幕与所投电梯为同一品牌</w:t>
            </w:r>
            <w:r>
              <w:rPr>
                <w:rFonts w:hint="eastAsia" w:ascii="宋体" w:hAnsi="宋体" w:cs="宋体"/>
                <w:color w:val="000000"/>
                <w:lang w:val="zh-CN"/>
              </w:rPr>
              <w:t xml:space="preserve">，</w:t>
            </w:r>
            <w:r>
              <w:rPr>
                <w:rFonts w:hint="eastAsia" w:ascii="宋体" w:hAnsi="宋体" w:cs="宋体"/>
                <w:color w:val="000000"/>
              </w:rPr>
              <w:t xml:space="preserve">得1分（提供承诺或相关证明材料，承诺书格式自拟）。</w:t>
            </w:r>
            <w:r>
              <w:rPr>
                <w:rFonts w:hint="eastAsia" w:ascii="宋体" w:hAnsi="宋体" w:cs="宋体"/>
                <w:color w:val="000000"/>
                <w:sz w:val="21"/>
                <w:szCs w:val="22"/>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1</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客观分</w:t>
            </w:r>
            <w:r>
              <w:rPr>
                <w:rFonts w:hint="eastAsia" w:ascii="宋体" w:hAnsi="宋体" w:cs="宋体"/>
                <w:sz w:val="21"/>
                <w:szCs w:val="21"/>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left"/>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安装方案</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994"/>
              <w:rPr>
                <w:rFonts w:hint="eastAsia"/>
                <w:color w:val="000000"/>
                <w:sz w:val="21"/>
                <w:szCs w:val="21"/>
                <w:lang w:val="en-US" w:bidi="ar-SA"/>
              </w:rPr>
            </w:pPr>
            <w:r>
              <w:rPr>
                <w:rFonts w:hint="eastAsia"/>
                <w:color w:val="000000"/>
                <w:sz w:val="21"/>
                <w:szCs w:val="21"/>
                <w:lang w:val="en-US" w:bidi="ar-SA"/>
              </w:rPr>
              <w:t xml:space="preserve">根据本项目采购需求及相关要求编制方案，内容包含：</w:t>
            </w:r>
            <w:r>
              <w:rPr>
                <w:rFonts w:hint="eastAsia"/>
                <w:color w:val="000000"/>
              </w:rPr>
              <w:t xml:space="preserve">1.安装人员的配置；2安装计划流程；3.安装的进度保证措施；4.安装现场安全措施；5.安装调试和验收等内容。</w:t>
            </w:r>
            <w:r>
              <w:rPr>
                <w:rFonts w:hint="eastAsia"/>
                <w:color w:val="000000"/>
                <w:sz w:val="21"/>
                <w:szCs w:val="21"/>
                <w:lang w:val="en-US" w:bidi="ar-SA"/>
              </w:rPr>
              <w:t xml:space="preserve">以上每项内容逐条阐述。</w:t>
            </w:r>
            <w:r>
              <w:rPr>
                <w:rFonts w:hint="eastAsia"/>
                <w:color w:val="000000"/>
                <w:sz w:val="21"/>
                <w:szCs w:val="21"/>
                <w:lang w:val="en-US" w:bidi="ar-SA"/>
              </w:rPr>
            </w:r>
            <w:r/>
          </w:p>
          <w:p>
            <w:pPr>
              <w:pStyle w:val="873"/>
              <w:rPr>
                <w:color w:val="000000"/>
              </w:rPr>
            </w:pPr>
            <w:r>
              <w:rPr>
                <w:color w:val="000000"/>
              </w:rPr>
              <w:t xml:space="preserve">方案内容</w:t>
            </w:r>
            <w:r>
              <w:rPr>
                <w:rFonts w:ascii="宋体" w:hAnsi="宋体" w:cs="宋体"/>
                <w:color w:val="000000"/>
              </w:rPr>
              <w:t xml:space="preserve">完整详细</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rPr>
                <w:rFonts w:hint="eastAsia" w:ascii="宋体" w:hAnsi="宋体" w:cs="宋体"/>
                <w:color w:val="000000"/>
                <w:sz w:val="21"/>
                <w:szCs w:val="21"/>
                <w:lang w:val="zh-CN"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宋体" w:hAnsi="宋体" w:cs="宋体"/>
                <w:color w:val="000000"/>
                <w:sz w:val="21"/>
                <w:szCs w:val="21"/>
                <w:lang w:val="zh-CN"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10</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spacing w:line="264" w:lineRule="auto"/>
              <w:rPr>
                <w:rFonts w:hint="eastAsia"/>
                <w:color w:val="000000"/>
                <w:sz w:val="21"/>
                <w:szCs w:val="21"/>
                <w:lang w:val="en-US" w:eastAsia="zh-CN" w:bidi="ar-SA"/>
              </w:rPr>
            </w:pPr>
            <w:r>
              <w:rPr>
                <w:rFonts w:hint="eastAsia"/>
                <w:color w:val="000000"/>
              </w:rPr>
              <w:t xml:space="preserve">售后服务方案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：1.售后服务内容；2.售后服务流程；3.服务保障体系（含专业人员保障）。以上每项内容逐条阐述。</w:t>
            </w:r>
            <w:r>
              <w:rPr>
                <w:color w:val="000000"/>
                <w:szCs w:val="21"/>
              </w:rPr>
              <w:t xml:space="preserve"> </w:t>
            </w:r>
            <w:r>
              <w:rPr>
                <w:color w:val="000000"/>
                <w:szCs w:val="21"/>
              </w:rPr>
            </w:r>
            <w:r/>
          </w:p>
          <w:p>
            <w:pPr>
              <w:pStyle w:val="873"/>
              <w:rPr>
                <w:color w:val="000000"/>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rPr>
                <w:rFonts w:hint="eastAsia" w:ascii="Calibri" w:hAnsi="Calibri" w:eastAsia="Calibri" w:cs="宋体"/>
                <w:color w:val="000000"/>
                <w:sz w:val="20"/>
                <w:szCs w:val="21"/>
                <w:lang w:val="en-US"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left"/>
              <w:spacing w:line="264" w:lineRule="auto"/>
              <w:widowControl/>
              <w:rPr>
                <w:rFonts w:hint="eastAsia"/>
                <w:color w:val="000000"/>
                <w:sz w:val="21"/>
                <w:szCs w:val="21"/>
                <w:lang w:val="en-US" w:eastAsia="zh-CN" w:bidi="ar-SA"/>
              </w:rPr>
            </w:pPr>
            <w:r>
              <w:rPr>
                <w:color w:val="000000"/>
                <w:szCs w:val="21"/>
              </w:rPr>
              <w:t xml:space="preserve">故障处理及应急措施方案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根据本项目采购需求及相关要求编制方案，内容包含：1.组织指挥体系及职责；2.故障处理措施计划；3.应急措施计划。以上每项内容逐条阐述。</w:t>
            </w:r>
            <w:r>
              <w:rPr>
                <w:color w:val="000000"/>
                <w:szCs w:val="21"/>
              </w:rPr>
            </w:r>
            <w:r/>
          </w:p>
          <w:p>
            <w:pPr>
              <w:pStyle w:val="873"/>
              <w:jc w:val="left"/>
              <w:spacing w:line="264" w:lineRule="auto"/>
              <w:widowControl/>
              <w:rPr>
                <w:color w:val="000000"/>
                <w:szCs w:val="21"/>
              </w:rPr>
            </w:pPr>
            <w:r>
              <w:rPr>
                <w:rFonts w:hint="eastAsia"/>
                <w:color w:val="000000"/>
                <w:szCs w:val="21"/>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color w:val="000000"/>
                <w:szCs w:val="21"/>
              </w:rPr>
            </w:r>
            <w:r/>
          </w:p>
          <w:p>
            <w:pPr>
              <w:pStyle w:val="873"/>
              <w:jc w:val="left"/>
              <w:spacing w:line="264" w:lineRule="auto"/>
              <w:widowControl/>
              <w:rPr>
                <w:rFonts w:hint="eastAsia"/>
                <w:color w:val="000000"/>
                <w:sz w:val="21"/>
                <w:szCs w:val="21"/>
                <w:lang w:val="en-US" w:eastAsia="zh-CN" w:bidi="ar-SA"/>
              </w:rPr>
            </w:pPr>
            <w:r>
              <w:rPr>
                <w:rFonts w:hint="eastAsia"/>
                <w:color w:val="000000"/>
                <w:szCs w:val="21"/>
              </w:rPr>
              <w:t xml:space="preserve">上述每项内容符合得2分；部分符合得1分；不符合或不提供不得分。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pStyle w:val="873"/>
              <w:jc w:val="left"/>
              <w:spacing w:line="264" w:lineRule="auto"/>
              <w:widowControl/>
              <w:rPr>
                <w:rFonts w:hint="eastAsia"/>
                <w:color w:val="000000"/>
                <w:sz w:val="21"/>
                <w:szCs w:val="21"/>
                <w:lang w:val="en-US" w:eastAsia="zh-CN" w:bidi="ar-SA"/>
              </w:rPr>
            </w:pPr>
            <w:r>
              <w:rPr>
                <w:rFonts w:hint="eastAsia"/>
                <w:color w:val="000000"/>
                <w:szCs w:val="21"/>
              </w:rPr>
              <w:t xml:space="preserve">培训方案</w:t>
            </w:r>
            <w:r>
              <w:rPr>
                <w:rFonts w:hint="eastAsia"/>
                <w:color w:val="000000"/>
                <w:sz w:val="21"/>
                <w:szCs w:val="21"/>
                <w:lang w:val="en-US" w:eastAsia="zh-CN" w:bidi="ar-SA"/>
              </w:rPr>
            </w:r>
            <w:r/>
          </w:p>
        </w:tc>
        <w:tc>
          <w:tcPr>
            <w:tcW w:w="6330" w:type="dxa"/>
            <w:vAlign w:val="center"/>
            <w:textDirection w:val="lrTb"/>
            <w:noWrap w:val="false"/>
          </w:tcPr>
          <w:p>
            <w:pPr>
              <w:pStyle w:val="873"/>
              <w:jc w:val="left"/>
              <w:spacing w:line="264" w:lineRule="auto"/>
              <w:widowControl/>
              <w:rPr>
                <w:color w:val="000000"/>
                <w:szCs w:val="21"/>
              </w:rPr>
            </w:pPr>
            <w:r>
              <w:rPr>
                <w:rFonts w:hint="eastAsia"/>
                <w:color w:val="000000"/>
                <w:szCs w:val="21"/>
              </w:rPr>
              <w:t xml:space="preserve">根据本项目采购需求及相关要求编制方案，内容</w:t>
            </w:r>
            <w:r>
              <w:rPr>
                <w:color w:val="000000"/>
                <w:szCs w:val="21"/>
              </w:rPr>
              <w:t xml:space="preserve">包括</w:t>
            </w:r>
            <w:r>
              <w:rPr>
                <w:rFonts w:hint="eastAsia"/>
                <w:color w:val="000000"/>
                <w:szCs w:val="21"/>
              </w:rPr>
              <w:t xml:space="preserve">：1.培训内容及培训时长；2.培训日程安排；3.培训质量保障措施。以上每项内容逐条阐述。</w:t>
            </w:r>
            <w:r>
              <w:rPr>
                <w:color w:val="000000"/>
                <w:szCs w:val="21"/>
              </w:rPr>
              <w:t xml:space="preserve"> </w:t>
            </w:r>
            <w:r>
              <w:rPr>
                <w:color w:val="000000"/>
                <w:szCs w:val="21"/>
              </w:rPr>
            </w:r>
            <w:r/>
          </w:p>
          <w:p>
            <w:pPr>
              <w:pStyle w:val="873"/>
              <w:jc w:val="left"/>
              <w:spacing w:line="264" w:lineRule="auto"/>
              <w:widowControl/>
              <w:rPr>
                <w:color w:val="000000"/>
                <w:szCs w:val="21"/>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rPr>
                <w:color w:val="000000"/>
                <w:szCs w:val="21"/>
              </w:rPr>
            </w:r>
            <w:r/>
          </w:p>
          <w:p>
            <w:pPr>
              <w:pStyle w:val="873"/>
              <w:jc w:val="left"/>
              <w:spacing w:line="264" w:lineRule="auto"/>
              <w:widowControl/>
              <w:rPr>
                <w:rFonts w:hint="eastAsia"/>
                <w:color w:val="000000"/>
                <w:sz w:val="21"/>
                <w:szCs w:val="21"/>
                <w:lang w:val="en-US" w:eastAsia="zh-CN" w:bidi="ar-SA"/>
              </w:rPr>
            </w:pPr>
            <w:r>
              <w:rPr>
                <w:rFonts w:hint="eastAsia"/>
                <w:color w:val="000000"/>
              </w:rPr>
              <w:t xml:space="preserve">上述每项内容符合得2分；部分符合得1分；不符合或不提供不得分。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ascii="宋体" w:hAnsi="宋体" w:cs="宋体"/>
                <w:sz w:val="21"/>
                <w:szCs w:val="21"/>
                <w:lang w:val="en-US" w:eastAsia="zh-CN" w:bidi="ar-SA"/>
              </w:rPr>
            </w:pPr>
            <w:r>
              <w:rPr>
                <w:rFonts w:hint="eastAsia" w:ascii="宋体" w:hAnsi="宋体" w:cs="宋体"/>
                <w:szCs w:val="21"/>
              </w:rPr>
              <w:t xml:space="preserve">6</w:t>
            </w:r>
            <w:r>
              <w:rPr>
                <w:rFonts w:ascii="宋体" w:hAnsi="宋体" w:cs="宋体"/>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3"/>
              <w:spacing w:line="264" w:lineRule="auto"/>
              <w:rPr>
                <w:rFonts w:ascii="宋体" w:hAnsi="宋体" w:cs="宋体"/>
                <w:color w:val="000000"/>
                <w:sz w:val="21"/>
                <w:szCs w:val="21"/>
                <w:lang w:val="en-US" w:eastAsia="zh-CN" w:bidi="zh-CN"/>
              </w:rPr>
            </w:pPr>
            <w:r>
              <w:rPr>
                <w:rFonts w:hint="eastAsia" w:ascii="宋体" w:hAnsi="宋体" w:cs="宋体"/>
                <w:color w:val="000000"/>
                <w:szCs w:val="21"/>
              </w:rPr>
              <w:t xml:space="preserve">投标人提供2023年1月1日（含）以来</w:t>
            </w:r>
            <w:r>
              <w:rPr>
                <w:rFonts w:hint="eastAsia" w:ascii="宋体" w:hAnsi="宋体" w:cs="宋体"/>
                <w:color w:val="000000"/>
                <w:lang w:val="zh-CN"/>
              </w:rPr>
              <w:t xml:space="preserve">承担过所投同品牌电梯项目业绩</w:t>
            </w:r>
            <w:r>
              <w:rPr>
                <w:rFonts w:hint="eastAsia" w:ascii="宋体" w:hAnsi="宋体" w:cs="宋体"/>
                <w:color w:val="000000"/>
                <w:szCs w:val="21"/>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rPr>
              <w:t xml:space="preserve">证明材料缺项或未提供不得分</w:t>
            </w:r>
            <w:r>
              <w:rPr>
                <w:rFonts w:hint="eastAsia" w:ascii="宋体" w:hAnsi="宋体" w:cs="宋体"/>
                <w:color w:val="000000"/>
                <w:szCs w:val="21"/>
              </w:rPr>
              <w:t xml:space="preserve">）</w:t>
            </w:r>
            <w:r>
              <w:rPr>
                <w:rFonts w:ascii="宋体" w:hAnsi="宋体" w:cs="宋体"/>
                <w:color w:val="000000"/>
                <w:sz w:val="21"/>
                <w:szCs w:val="21"/>
                <w:lang w:val="en-US" w:eastAsia="zh-CN" w:bidi="zh-CN"/>
              </w:rPr>
            </w:r>
            <w:r/>
          </w:p>
        </w:tc>
        <w:tc>
          <w:tcPr>
            <w:tcW w:w="647" w:type="dxa"/>
            <w:vAlign w:val="center"/>
            <w:textDirection w:val="lrTb"/>
            <w:noWrap w:val="false"/>
          </w:tcPr>
          <w:p>
            <w:pPr>
              <w:pStyle w:val="873"/>
              <w:jc w:val="center"/>
              <w:spacing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3"/>
              <w:spacing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投标人或所投产品制造商</w:t>
            </w:r>
            <w:r>
              <w:rPr>
                <w:rFonts w:hint="eastAsia" w:ascii="宋体" w:hAnsi="宋体" w:cs="宋体"/>
                <w:color w:val="000000"/>
                <w:lang w:val="zh-CN"/>
              </w:rPr>
              <w:t xml:space="preserve">提供购买的有效期内的《公众责任保险》，累计赔偿金额≥1.4亿元得3分；1亿元≤累计赔偿金额＜1.4亿元得1.5分；其他不得分</w:t>
            </w:r>
            <w:r>
              <w:rPr>
                <w:rFonts w:hint="eastAsia"/>
                <w:color w:val="000000"/>
              </w:rPr>
              <w:t xml:space="preserve">（</w:t>
            </w:r>
            <w:r>
              <w:rPr>
                <w:rFonts w:hint="eastAsia" w:ascii="宋体" w:hAnsi="宋体" w:cs="宋体"/>
                <w:color w:val="000000"/>
                <w:szCs w:val="21"/>
              </w:rPr>
              <w:t xml:space="preserve">提供在有效期限内保险凭证或承诺函，承诺函格式自拟）</w:t>
            </w:r>
            <w:r>
              <w:rPr>
                <w:rFonts w:hint="eastAsia" w:ascii="宋体" w:hAnsi="宋体" w:cs="宋体"/>
                <w:color w:val="000000"/>
                <w:lang w:val="zh-CN"/>
              </w:rPr>
              <w:t xml:space="preserve">。</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943"/>
        <w:rPr>
          <w:rFonts w:hint="eastAsia"/>
          <w:lang w:val="en-US" w:eastAsia="zh-CN"/>
        </w:rPr>
      </w:pPr>
      <w:r>
        <w:rPr>
          <w:rFonts w:hint="eastAsia"/>
          <w:lang w:val="en-US" w:eastAsia="zh-CN"/>
        </w:rPr>
      </w:r>
      <w:r/>
    </w:p>
    <w:p>
      <w:pPr>
        <w:pStyle w:val="873"/>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七、投标分项报价表（本项目无需提供）</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85"/>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lang w:val="en-US" w:eastAsia="zh-CN"/>
        </w:rPr>
      </w:pPr>
      <w:r>
        <w:rPr>
          <w:rFonts w:hint="eastAsia"/>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格式3__银行出具的资信证明"/>
      <w:r/>
      <w:bookmarkEnd w:id="207"/>
      <w:r/>
      <w:bookmarkStart w:id="208" w:name="_Hlt26955070"/>
      <w:r/>
      <w:bookmarkEnd w:id="208"/>
      <w:r/>
      <w:bookmarkStart w:id="209" w:name="_Hlt26671380"/>
      <w:r/>
      <w:bookmarkEnd w:id="209"/>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rPr>
          <w:rFonts w:hint="eastAsia"/>
        </w:rPr>
      </w:r>
      <w:r/>
    </w:p>
    <w:p>
      <w:pPr>
        <w:pStyle w:val="889"/>
        <w:ind w:firstLine="0"/>
        <w:rPr>
          <w:rFonts w:hint="eastAsia"/>
        </w:rPr>
      </w:pPr>
      <w:r>
        <w:rPr>
          <w:rFonts w:hint="eastAsia"/>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3"/>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3"/>
        <w:ind w:firstLine="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1"/>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9"/>
          <w:rFonts w:hint="eastAsia"/>
          <w:i w:val="0"/>
          <w:u w:val="single"/>
          <w:shd w:val="clear" w:color="auto" w:fill="ffffff"/>
        </w:rPr>
        <w:t xml:space="preserve">（产品名称1）</w:t>
      </w:r>
      <w:r>
        <w:rPr>
          <w:rStyle w:val="94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9"/>
          <w:rFonts w:hint="eastAsia"/>
          <w:i w:val="0"/>
          <w:u w:val="single"/>
          <w:shd w:val="clear" w:color="auto" w:fill="ffffff"/>
        </w:rPr>
        <w:t xml:space="preserve">（厂名）</w:t>
      </w:r>
      <w:r>
        <w:rPr>
          <w:rStyle w:val="949"/>
          <w:rFonts w:hint="eastAsia"/>
          <w:i w:val="0"/>
          <w:shd w:val="clear" w:color="auto" w:fill="ffffff"/>
          <w:vertAlign w:val="superscript"/>
        </w:rPr>
        <w:t xml:space="preserve">2</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Style w:val="949"/>
          <w:rFonts w:hint="eastAsia"/>
          <w:i w:val="0"/>
          <w:shd w:val="clear" w:color="auto" w:fill="ffffff"/>
          <w:vertAlign w:val="superscript"/>
        </w:rPr>
        <w:t xml:space="preserve">3</w:t>
      </w:r>
      <w:r>
        <w:rPr>
          <w:rFonts w:hint="eastAsia"/>
          <w:strike w:val="0"/>
          <w:shd w:val="clear" w:color="auto" w:fill="ffffff"/>
        </w:rPr>
        <w:t xml:space="preserve">。</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Style w:val="94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（产品名称1）</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Style w:val="949"/>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7"/>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9"/>
          <w:rFonts w:hint="eastAsia"/>
          <w:i w:val="0"/>
          <w:u w:val="single"/>
          <w:shd w:val="clear" w:color="auto" w:fill="ffffff"/>
        </w:rPr>
        <w:t xml:space="preserve">（产品名称2）</w:t>
      </w:r>
      <w:r>
        <w:rPr>
          <w:rFonts w:hint="eastAsia"/>
          <w:shd w:val="clear" w:color="auto" w:fill="ffffff"/>
        </w:rPr>
        <w:t xml:space="preserve">，生产厂为</w:t>
      </w:r>
      <w:r>
        <w:rPr>
          <w:rStyle w:val="949"/>
          <w:rFonts w:hint="eastAsia"/>
          <w:i w:val="0"/>
          <w:u w:val="single"/>
          <w:shd w:val="clear" w:color="auto" w:fill="ffffff"/>
        </w:rPr>
        <w:t xml:space="preserve">（厂名）</w:t>
      </w:r>
      <w:r>
        <w:rPr>
          <w:rFonts w:hint="eastAsia"/>
          <w:shd w:val="clear" w:color="auto" w:fill="ffffff"/>
        </w:rPr>
        <w:t xml:space="preserve">，厂址为</w:t>
      </w:r>
      <w:r>
        <w:rPr>
          <w:rStyle w:val="949"/>
          <w:rFonts w:hint="eastAsia"/>
          <w:i w:val="0"/>
          <w:u w:val="single"/>
          <w:shd w:val="clear" w:color="auto" w:fill="ffffff"/>
        </w:rPr>
        <w:t xml:space="preserve">（生产厂址）</w:t>
      </w:r>
      <w:r>
        <w:rPr>
          <w:rFonts w:hint="eastAsia"/>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9"/>
          <w:rFonts w:hint="eastAsia"/>
          <w:i/>
          <w:strike w:val="0"/>
          <w:u w:val="single"/>
          <w:shd w:val="clear" w:color="auto" w:fill="ffffff"/>
        </w:rPr>
        <w:t xml:space="preserve">（规定比例）</w:t>
      </w:r>
      <w:r>
        <w:rPr>
          <w:rFonts w:hint="eastAsia"/>
          <w:strike w:val="0"/>
          <w:shd w:val="clear" w:color="auto" w:fill="ffffff"/>
        </w:rPr>
        <w:t xml:space="preserve">。</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9"/>
          <w:rFonts w:hint="eastAsia"/>
          <w:i/>
          <w:strike w:val="0"/>
          <w:u w:val="single"/>
          <w:shd w:val="clear" w:color="auto" w:fill="ffffff"/>
        </w:rPr>
        <w:t xml:space="preserve">（产品名称2）</w:t>
      </w:r>
      <w:r>
        <w:rPr>
          <w:rFonts w:hint="eastAsia"/>
          <w:strike w:val="0"/>
          <w:shd w:val="clear" w:color="auto" w:fill="ffffff"/>
        </w:rPr>
        <w:t xml:space="preserve">的</w:t>
      </w:r>
      <w:r>
        <w:rPr>
          <w:rStyle w:val="949"/>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7"/>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character" w:styleId="888">
    <w:name w:val="标题 3 Char"/>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强调"/>
    <w:next w:val="949"/>
    <w:link w:val="873"/>
    <w:qFormat/>
    <w:rPr>
      <w:i/>
    </w:rPr>
  </w:style>
  <w:style w:type="character" w:styleId="950">
    <w:name w:val="超链接"/>
    <w:next w:val="950"/>
    <w:link w:val="873"/>
    <w:rPr>
      <w:color w:val="0000ff"/>
      <w:u w:val="single"/>
    </w:rPr>
  </w:style>
  <w:style w:type="character" w:styleId="951">
    <w:name w:val="批注引用"/>
    <w:next w:val="951"/>
    <w:link w:val="873"/>
    <w:semiHidden/>
    <w:rPr>
      <w:sz w:val="21"/>
      <w:szCs w:val="21"/>
    </w:rPr>
  </w:style>
  <w:style w:type="character" w:styleId="952">
    <w:name w:val="批注文字 字符"/>
    <w:basedOn w:val="883"/>
    <w:next w:val="952"/>
    <w:link w:val="901"/>
    <w:rPr>
      <w:rFonts w:ascii="Calibri" w:hAnsi="Calibri" w:eastAsia="宋体" w:cs="Times New Roman"/>
      <w:sz w:val="21"/>
      <w:szCs w:val="24"/>
    </w:rPr>
  </w:style>
  <w:style w:type="paragraph" w:styleId="953">
    <w:name w:val="正文1"/>
    <w:basedOn w:val="873"/>
    <w:next w:val="953"/>
    <w:link w:val="873"/>
    <w:qFormat/>
    <w:pPr>
      <w:ind w:left="350" w:firstLine="0"/>
    </w:pPr>
    <w:rPr>
      <w:rFonts w:cs="Times New Roman"/>
      <w:sz w:val="20"/>
      <w:szCs w:val="24"/>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3"/>
    <w:next w:val="905"/>
    <w:link w:val="873"/>
    <w:pPr>
      <w:spacing w:after="120"/>
    </w:pPr>
    <w:rPr>
      <w:rFonts w:ascii="宋体" w:hAnsi="Arial" w:eastAsia="宋体" w:cs="Times New Roman"/>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eastAsia="宋体" w:cs="Times New Roman"/>
      <w:sz w:val="24"/>
      <w:szCs w:val="24"/>
    </w:rPr>
  </w:style>
  <w:style w:type="paragraph" w:styleId="965">
    <w:name w:val="table_lines"/>
    <w:basedOn w:val="873"/>
    <w:next w:val="965"/>
    <w:link w:val="873"/>
    <w:pPr>
      <w:jc w:val="left"/>
      <w:widowControl/>
    </w:pPr>
    <w:rPr>
      <w:rFonts w:ascii="Times New Roman" w:hAnsi="Times New Roman" w:eastAsia="宋体" w:cs="Times New Roman"/>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9"/>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3"/>
    <w:next w:val="972"/>
    <w:link w:val="873"/>
    <w:pPr>
      <w:spacing w:line="360" w:lineRule="auto"/>
    </w:pPr>
    <w:rPr>
      <w:rFonts w:ascii="Times New Roman" w:hAnsi="Times New Roman" w:eastAsia="宋体" w:cs="Times New Roman"/>
      <w:sz w:val="24"/>
      <w:szCs w:val="20"/>
    </w:rPr>
  </w:style>
  <w:style w:type="paragraph" w:styleId="973">
    <w:name w:val="样式1"/>
    <w:basedOn w:val="873"/>
    <w:next w:val="973"/>
    <w:link w:val="873"/>
    <w:pPr>
      <w:numPr>
        <w:ilvl w:val="0"/>
        <w:numId w:val="3"/>
      </w:numPr>
      <w:tabs>
        <w:tab w:val="left" w:pos="709" w:leader="none"/>
      </w:tabs>
    </w:pPr>
    <w:rPr>
      <w:rFonts w:ascii="宋体" w:hAnsi="宋体" w:eastAsia="宋体" w:cs="Times New Roman"/>
      <w:szCs w:val="21"/>
    </w:rPr>
  </w:style>
  <w:style w:type="paragraph" w:styleId="974">
    <w:name w:val="font6"/>
    <w:basedOn w:val="873"/>
    <w:next w:val="97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eastAsia="宋体" w:cs="Times New Roman"/>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9"/>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73"/>
    <w:qFormat/>
    <w:tblPr/>
  </w:style>
  <w:style w:type="paragraph" w:styleId="991">
    <w:name w:val="正文文本12"/>
    <w:basedOn w:val="873"/>
    <w:next w:val="991"/>
    <w:link w:val="873"/>
    <w:uiPriority w:val="1"/>
    <w:qFormat/>
    <w:pPr>
      <w:ind w:left="120"/>
    </w:pPr>
    <w:rPr>
      <w:rFonts w:ascii="宋体" w:hAnsi="宋体" w:eastAsia="宋体" w:cs="宋体"/>
      <w:sz w:val="21"/>
      <w:szCs w:val="21"/>
      <w:lang w:val="zh-CN" w:eastAsia="zh-CN" w:bidi="zh-CN"/>
    </w:rPr>
  </w:style>
  <w:style w:type="paragraph" w:styleId="992">
    <w:name w:val="正文文本 211"/>
    <w:basedOn w:val="873"/>
    <w:next w:val="992"/>
    <w:link w:val="873"/>
    <w:uiPriority w:val="99"/>
    <w:qFormat/>
    <w:pPr>
      <w:jc w:val="center"/>
    </w:pPr>
    <w:rPr>
      <w:b/>
      <w:bCs/>
      <w:sz w:val="20"/>
      <w:szCs w:val="20"/>
    </w:r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Table Paragraph"/>
    <w:basedOn w:val="873"/>
    <w:next w:val="994"/>
    <w:link w:val="873"/>
    <w:uiPriority w:val="1"/>
    <w:qFormat/>
    <w:pPr>
      <w:jc w:val="left"/>
    </w:pPr>
    <w:rPr>
      <w:rFonts w:ascii="宋体" w:hAnsi="宋体" w:eastAsia="宋体" w:cs="宋体"/>
      <w:sz w:val="22"/>
      <w:szCs w:val="22"/>
      <w:lang w:val="zh-CN" w:bidi="zh-CN"/>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tblPr/>
  </w:style>
  <w:style w:type="paragraph" w:styleId="997">
    <w:name w:val="正文文本缩进1"/>
    <w:basedOn w:val="873"/>
    <w:next w:val="998"/>
    <w:link w:val="873"/>
    <w:unhideWhenUsed/>
    <w:qFormat/>
    <w:pPr>
      <w:ind w:left="420"/>
      <w:spacing w:after="120"/>
    </w:pPr>
  </w:style>
  <w:style w:type="paragraph" w:styleId="998">
    <w:name w:val="正文文本首行缩进 2"/>
    <w:basedOn w:val="997"/>
    <w:next w:val="998"/>
    <w:link w:val="873"/>
    <w:qFormat/>
    <w:pPr>
      <w:ind w:left="0" w:firstLine="420"/>
      <w:spacing w:after="0" w:line="360" w:lineRule="auto"/>
    </w:pPr>
    <w:rPr>
      <w:rFonts w:ascii="宋体" w:hAnsi="宋体"/>
      <w:sz w:val="20"/>
      <w:szCs w:val="20"/>
      <w:lang w:val="en-US" w:eastAsia="en-US"/>
    </w:rPr>
  </w:style>
  <w:style w:type="table" w:styleId="999">
    <w:name w:val="Table Normal_0"/>
    <w:next w:val="999"/>
    <w:link w:val="873"/>
    <w:qFormat/>
    <w:tblPr/>
  </w:style>
  <w:style w:type="paragraph" w:styleId="1000">
    <w:name w:val="正文首行缩进 211"/>
    <w:basedOn w:val="1001"/>
    <w:next w:val="873"/>
    <w:link w:val="873"/>
    <w:qFormat/>
    <w:pPr>
      <w:ind w:left="0" w:firstLine="420"/>
      <w:spacing w:after="0" w:line="360" w:lineRule="auto"/>
    </w:pPr>
    <w:rPr>
      <w:rFonts w:ascii="宋体" w:hAnsi="宋体" w:eastAsia="宋体" w:cs="Times New Roman"/>
      <w:szCs w:val="20"/>
    </w:r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2026-07-24T00:45:06Z</dcterms:modified>
</cp:coreProperties>
</file>